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63D" w:rsidRPr="0001063D" w:rsidRDefault="0001063D" w:rsidP="0001063D">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01063D">
        <w:rPr>
          <w:rFonts w:ascii="Times New Roman" w:eastAsia="Times New Roman" w:hAnsi="Times New Roman" w:cs="Times New Roman"/>
          <w:b/>
          <w:bCs/>
          <w:sz w:val="36"/>
          <w:szCs w:val="36"/>
          <w:lang w:eastAsia="fr-FR"/>
        </w:rPr>
        <w:t>Questions de compréhension</w:t>
      </w:r>
    </w:p>
    <w:p w:rsidR="0001063D" w:rsidRPr="0001063D" w:rsidRDefault="0001063D" w:rsidP="0001063D">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sz w:val="24"/>
          <w:szCs w:val="24"/>
          <w:lang w:eastAsia="fr-FR"/>
        </w:rPr>
        <w:t>Quels sont les rôles principaux des préparateurs et adjoints dans la mise en avant des produits en officine ?</w:t>
      </w:r>
    </w:p>
    <w:p w:rsidR="0001063D" w:rsidRPr="0001063D" w:rsidRDefault="0001063D" w:rsidP="0001063D">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sz w:val="24"/>
          <w:szCs w:val="24"/>
          <w:lang w:eastAsia="fr-FR"/>
        </w:rPr>
        <w:t>En quoi les mini-projets de merchandising d’équipe peuvent-ils dynamiser l’engagement et la créativité des membres de l’équipe ?</w:t>
      </w:r>
    </w:p>
    <w:p w:rsidR="0001063D" w:rsidRPr="0001063D" w:rsidRDefault="0001063D" w:rsidP="0001063D">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sz w:val="24"/>
          <w:szCs w:val="24"/>
          <w:lang w:eastAsia="fr-FR"/>
        </w:rPr>
        <w:t>Selon le chapitre 2.6, quels sont les trois impacts principaux d’une présentation claire et cohérente sur l’officine et le patient ?</w:t>
      </w:r>
    </w:p>
    <w:p w:rsidR="0001063D" w:rsidRPr="0001063D" w:rsidRDefault="0001063D" w:rsidP="0001063D">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01063D">
        <w:rPr>
          <w:rFonts w:ascii="Times New Roman" w:eastAsia="Times New Roman" w:hAnsi="Times New Roman" w:cs="Times New Roman"/>
          <w:b/>
          <w:bCs/>
          <w:sz w:val="36"/>
          <w:szCs w:val="36"/>
          <w:lang w:eastAsia="fr-FR"/>
        </w:rPr>
        <w:t>Quizz (QCM)</w:t>
      </w:r>
    </w:p>
    <w:p w:rsidR="0001063D" w:rsidRPr="0001063D" w:rsidRDefault="0001063D" w:rsidP="0001063D">
      <w:p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b/>
          <w:bCs/>
          <w:sz w:val="24"/>
          <w:szCs w:val="24"/>
          <w:lang w:eastAsia="fr-FR"/>
        </w:rPr>
        <w:t>QCM 1 : Implication de l’équipe</w:t>
      </w:r>
      <w:r w:rsidRPr="0001063D">
        <w:rPr>
          <w:rFonts w:ascii="Times New Roman" w:eastAsia="Times New Roman" w:hAnsi="Times New Roman" w:cs="Times New Roman"/>
          <w:sz w:val="24"/>
          <w:szCs w:val="24"/>
          <w:lang w:eastAsia="fr-FR"/>
        </w:rPr>
        <w:br/>
        <w:t>Les préparateurs et adjoints contribuent au merchandising en :</w:t>
      </w:r>
      <w:r w:rsidRPr="0001063D">
        <w:rPr>
          <w:rFonts w:ascii="Times New Roman" w:eastAsia="Times New Roman" w:hAnsi="Times New Roman" w:cs="Times New Roman"/>
          <w:sz w:val="24"/>
          <w:szCs w:val="24"/>
          <w:lang w:eastAsia="fr-FR"/>
        </w:rPr>
        <w:br/>
        <w:t>A) Observant les comportements clients et signalant les produits à faible rotation</w:t>
      </w:r>
      <w:r w:rsidRPr="0001063D">
        <w:rPr>
          <w:rFonts w:ascii="Times New Roman" w:eastAsia="Times New Roman" w:hAnsi="Times New Roman" w:cs="Times New Roman"/>
          <w:sz w:val="24"/>
          <w:szCs w:val="24"/>
          <w:lang w:eastAsia="fr-FR"/>
        </w:rPr>
        <w:br/>
        <w:t>B) Proposant des idées d’implantation ou d’association saisonnière</w:t>
      </w:r>
      <w:r w:rsidRPr="0001063D">
        <w:rPr>
          <w:rFonts w:ascii="Times New Roman" w:eastAsia="Times New Roman" w:hAnsi="Times New Roman" w:cs="Times New Roman"/>
          <w:sz w:val="24"/>
          <w:szCs w:val="24"/>
          <w:lang w:eastAsia="fr-FR"/>
        </w:rPr>
        <w:br/>
        <w:t>C) Vérifiant la propreté et l’alignement des rayons</w:t>
      </w:r>
      <w:r w:rsidRPr="0001063D">
        <w:rPr>
          <w:rFonts w:ascii="Times New Roman" w:eastAsia="Times New Roman" w:hAnsi="Times New Roman" w:cs="Times New Roman"/>
          <w:sz w:val="24"/>
          <w:szCs w:val="24"/>
          <w:lang w:eastAsia="fr-FR"/>
        </w:rPr>
        <w:br/>
        <w:t>D) Décidant seuls de la politique commerciale de l’officine</w:t>
      </w:r>
    </w:p>
    <w:p w:rsidR="0001063D" w:rsidRPr="0001063D" w:rsidRDefault="0001063D" w:rsidP="0001063D">
      <w:p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b/>
          <w:bCs/>
          <w:sz w:val="24"/>
          <w:szCs w:val="24"/>
          <w:lang w:eastAsia="fr-FR"/>
        </w:rPr>
        <w:t>QCM 2 : Mini-projets de merchandising</w:t>
      </w:r>
      <w:r w:rsidRPr="0001063D">
        <w:rPr>
          <w:rFonts w:ascii="Times New Roman" w:eastAsia="Times New Roman" w:hAnsi="Times New Roman" w:cs="Times New Roman"/>
          <w:sz w:val="24"/>
          <w:szCs w:val="24"/>
          <w:lang w:eastAsia="fr-FR"/>
        </w:rPr>
        <w:br/>
        <w:t>Pour rendre un projet de merchandising efficace, il est conseillé de :</w:t>
      </w:r>
      <w:r w:rsidRPr="0001063D">
        <w:rPr>
          <w:rFonts w:ascii="Times New Roman" w:eastAsia="Times New Roman" w:hAnsi="Times New Roman" w:cs="Times New Roman"/>
          <w:sz w:val="24"/>
          <w:szCs w:val="24"/>
          <w:lang w:eastAsia="fr-FR"/>
        </w:rPr>
        <w:br/>
        <w:t>A) Attribuer un univers à chaque membre de l’équipe</w:t>
      </w:r>
      <w:r w:rsidRPr="0001063D">
        <w:rPr>
          <w:rFonts w:ascii="Times New Roman" w:eastAsia="Times New Roman" w:hAnsi="Times New Roman" w:cs="Times New Roman"/>
          <w:sz w:val="24"/>
          <w:szCs w:val="24"/>
          <w:lang w:eastAsia="fr-FR"/>
        </w:rPr>
        <w:br/>
        <w:t>B) Fixer un objectif simple et mesurable</w:t>
      </w:r>
      <w:r w:rsidRPr="0001063D">
        <w:rPr>
          <w:rFonts w:ascii="Times New Roman" w:eastAsia="Times New Roman" w:hAnsi="Times New Roman" w:cs="Times New Roman"/>
          <w:sz w:val="24"/>
          <w:szCs w:val="24"/>
          <w:lang w:eastAsia="fr-FR"/>
        </w:rPr>
        <w:br/>
        <w:t>C) Faire un point mensuel pour analyser les résultats et ajuster les actions</w:t>
      </w:r>
      <w:r w:rsidRPr="0001063D">
        <w:rPr>
          <w:rFonts w:ascii="Times New Roman" w:eastAsia="Times New Roman" w:hAnsi="Times New Roman" w:cs="Times New Roman"/>
          <w:sz w:val="24"/>
          <w:szCs w:val="24"/>
          <w:lang w:eastAsia="fr-FR"/>
        </w:rPr>
        <w:br/>
        <w:t>D) Laisser chaque membre agir sans coordination pour favoriser la créativité</w:t>
      </w:r>
    </w:p>
    <w:p w:rsidR="0001063D" w:rsidRPr="0001063D" w:rsidRDefault="0001063D" w:rsidP="0001063D">
      <w:p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b/>
          <w:bCs/>
          <w:sz w:val="24"/>
          <w:szCs w:val="24"/>
          <w:lang w:eastAsia="fr-FR"/>
        </w:rPr>
        <w:t>QCM 3 : Conclusion et valorisation</w:t>
      </w:r>
      <w:r w:rsidRPr="0001063D">
        <w:rPr>
          <w:rFonts w:ascii="Times New Roman" w:eastAsia="Times New Roman" w:hAnsi="Times New Roman" w:cs="Times New Roman"/>
          <w:sz w:val="24"/>
          <w:szCs w:val="24"/>
          <w:lang w:eastAsia="fr-FR"/>
        </w:rPr>
        <w:br/>
        <w:t>Une présentation claire, cohérente et vivante permet de :</w:t>
      </w:r>
      <w:r w:rsidRPr="0001063D">
        <w:rPr>
          <w:rFonts w:ascii="Times New Roman" w:eastAsia="Times New Roman" w:hAnsi="Times New Roman" w:cs="Times New Roman"/>
          <w:sz w:val="24"/>
          <w:szCs w:val="24"/>
          <w:lang w:eastAsia="fr-FR"/>
        </w:rPr>
        <w:br/>
        <w:t>A) Valoriser le travail de l’équipe</w:t>
      </w:r>
      <w:r w:rsidRPr="0001063D">
        <w:rPr>
          <w:rFonts w:ascii="Times New Roman" w:eastAsia="Times New Roman" w:hAnsi="Times New Roman" w:cs="Times New Roman"/>
          <w:sz w:val="24"/>
          <w:szCs w:val="24"/>
          <w:lang w:eastAsia="fr-FR"/>
        </w:rPr>
        <w:br/>
        <w:t>B) Renforcer la confiance du patient</w:t>
      </w:r>
      <w:r w:rsidRPr="0001063D">
        <w:rPr>
          <w:rFonts w:ascii="Times New Roman" w:eastAsia="Times New Roman" w:hAnsi="Times New Roman" w:cs="Times New Roman"/>
          <w:sz w:val="24"/>
          <w:szCs w:val="24"/>
          <w:lang w:eastAsia="fr-FR"/>
        </w:rPr>
        <w:br/>
        <w:t>C) Soutenir la rentabilité globale de l’officine</w:t>
      </w:r>
      <w:r w:rsidRPr="0001063D">
        <w:rPr>
          <w:rFonts w:ascii="Times New Roman" w:eastAsia="Times New Roman" w:hAnsi="Times New Roman" w:cs="Times New Roman"/>
          <w:sz w:val="24"/>
          <w:szCs w:val="24"/>
          <w:lang w:eastAsia="fr-FR"/>
        </w:rPr>
        <w:br/>
        <w:t>D) Remplacer le conseil pharmaceutique au comptoir</w:t>
      </w:r>
    </w:p>
    <w:p w:rsidR="0001063D" w:rsidRPr="0001063D" w:rsidRDefault="0001063D" w:rsidP="0001063D">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bookmarkStart w:id="0" w:name="_GoBack"/>
      <w:bookmarkEnd w:id="0"/>
      <w:r w:rsidRPr="0001063D">
        <w:rPr>
          <w:rFonts w:ascii="Times New Roman" w:eastAsia="Times New Roman" w:hAnsi="Times New Roman" w:cs="Times New Roman"/>
          <w:b/>
          <w:bCs/>
          <w:sz w:val="36"/>
          <w:szCs w:val="36"/>
          <w:lang w:eastAsia="fr-FR"/>
        </w:rPr>
        <w:t>Réponses et justifications</w:t>
      </w:r>
    </w:p>
    <w:p w:rsidR="0001063D" w:rsidRPr="0001063D" w:rsidRDefault="0001063D" w:rsidP="0001063D">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1063D">
        <w:rPr>
          <w:rFonts w:ascii="Times New Roman" w:eastAsia="Times New Roman" w:hAnsi="Times New Roman" w:cs="Times New Roman"/>
          <w:b/>
          <w:bCs/>
          <w:sz w:val="27"/>
          <w:szCs w:val="27"/>
          <w:lang w:eastAsia="fr-FR"/>
        </w:rPr>
        <w:t>Questions de compréhension</w:t>
      </w:r>
    </w:p>
    <w:p w:rsidR="0001063D" w:rsidRPr="0001063D" w:rsidRDefault="0001063D" w:rsidP="0001063D">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b/>
          <w:bCs/>
          <w:sz w:val="24"/>
          <w:szCs w:val="24"/>
          <w:lang w:eastAsia="fr-FR"/>
        </w:rPr>
        <w:t>Réponse :</w:t>
      </w:r>
      <w:r w:rsidRPr="0001063D">
        <w:rPr>
          <w:rFonts w:ascii="Times New Roman" w:eastAsia="Times New Roman" w:hAnsi="Times New Roman" w:cs="Times New Roman"/>
          <w:sz w:val="24"/>
          <w:szCs w:val="24"/>
          <w:lang w:eastAsia="fr-FR"/>
        </w:rPr>
        <w:t xml:space="preserve"> Les préparateurs et adjoints observent les comportements clients, signalent les produits qui ne tournent pas, proposent des idées d’implantation ou d’association saisonnière, et vérifient la propreté et l’alignement des rayons.</w:t>
      </w:r>
      <w:r w:rsidRPr="0001063D">
        <w:rPr>
          <w:rFonts w:ascii="Times New Roman" w:eastAsia="Times New Roman" w:hAnsi="Times New Roman" w:cs="Times New Roman"/>
          <w:sz w:val="24"/>
          <w:szCs w:val="24"/>
          <w:lang w:eastAsia="fr-FR"/>
        </w:rPr>
        <w:br/>
      </w:r>
      <w:r w:rsidRPr="0001063D">
        <w:rPr>
          <w:rFonts w:ascii="Times New Roman" w:eastAsia="Times New Roman" w:hAnsi="Times New Roman" w:cs="Times New Roman"/>
          <w:b/>
          <w:bCs/>
          <w:sz w:val="24"/>
          <w:szCs w:val="24"/>
          <w:lang w:eastAsia="fr-FR"/>
        </w:rPr>
        <w:t>Justification :</w:t>
      </w:r>
      <w:r w:rsidRPr="0001063D">
        <w:rPr>
          <w:rFonts w:ascii="Times New Roman" w:eastAsia="Times New Roman" w:hAnsi="Times New Roman" w:cs="Times New Roman"/>
          <w:sz w:val="24"/>
          <w:szCs w:val="24"/>
          <w:lang w:eastAsia="fr-FR"/>
        </w:rPr>
        <w:t xml:space="preserve"> Leur proximité avec le client et la connaissance du linéaire permettent d’ajuster en continu le merchandising et d’améliorer la visibilité et la performance commerciale.</w:t>
      </w:r>
    </w:p>
    <w:p w:rsidR="0001063D" w:rsidRPr="0001063D" w:rsidRDefault="0001063D" w:rsidP="0001063D">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b/>
          <w:bCs/>
          <w:sz w:val="24"/>
          <w:szCs w:val="24"/>
          <w:lang w:eastAsia="fr-FR"/>
        </w:rPr>
        <w:t>Réponse :</w:t>
      </w:r>
      <w:r w:rsidRPr="0001063D">
        <w:rPr>
          <w:rFonts w:ascii="Times New Roman" w:eastAsia="Times New Roman" w:hAnsi="Times New Roman" w:cs="Times New Roman"/>
          <w:sz w:val="24"/>
          <w:szCs w:val="24"/>
          <w:lang w:eastAsia="fr-FR"/>
        </w:rPr>
        <w:t xml:space="preserve"> Les mini-projets permettent d’attribuer un univers à chaque membre, de fixer des objectifs simples et mesurables, et de faire un point régulier sur les résultats. Cela crée engagement, sentiment de responsabilité, créativité et adaptabilité face aux variations saisonnières.</w:t>
      </w:r>
      <w:r w:rsidRPr="0001063D">
        <w:rPr>
          <w:rFonts w:ascii="Times New Roman" w:eastAsia="Times New Roman" w:hAnsi="Times New Roman" w:cs="Times New Roman"/>
          <w:sz w:val="24"/>
          <w:szCs w:val="24"/>
          <w:lang w:eastAsia="fr-FR"/>
        </w:rPr>
        <w:br/>
      </w:r>
      <w:r w:rsidRPr="0001063D">
        <w:rPr>
          <w:rFonts w:ascii="Times New Roman" w:eastAsia="Times New Roman" w:hAnsi="Times New Roman" w:cs="Times New Roman"/>
          <w:b/>
          <w:bCs/>
          <w:sz w:val="24"/>
          <w:szCs w:val="24"/>
          <w:lang w:eastAsia="fr-FR"/>
        </w:rPr>
        <w:t>Justification :</w:t>
      </w:r>
      <w:r w:rsidRPr="0001063D">
        <w:rPr>
          <w:rFonts w:ascii="Times New Roman" w:eastAsia="Times New Roman" w:hAnsi="Times New Roman" w:cs="Times New Roman"/>
          <w:sz w:val="24"/>
          <w:szCs w:val="24"/>
          <w:lang w:eastAsia="fr-FR"/>
        </w:rPr>
        <w:t xml:space="preserve"> Cette organisation transforme le merchandising en projet collectif, responsabilise chaque membre et favorise l’innovation dans l’agencement.</w:t>
      </w:r>
    </w:p>
    <w:p w:rsidR="0001063D" w:rsidRPr="0001063D" w:rsidRDefault="0001063D" w:rsidP="0001063D">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b/>
          <w:bCs/>
          <w:sz w:val="24"/>
          <w:szCs w:val="24"/>
          <w:lang w:eastAsia="fr-FR"/>
        </w:rPr>
        <w:lastRenderedPageBreak/>
        <w:t>Réponse :</w:t>
      </w:r>
      <w:r w:rsidRPr="0001063D">
        <w:rPr>
          <w:rFonts w:ascii="Times New Roman" w:eastAsia="Times New Roman" w:hAnsi="Times New Roman" w:cs="Times New Roman"/>
          <w:sz w:val="24"/>
          <w:szCs w:val="24"/>
          <w:lang w:eastAsia="fr-FR"/>
        </w:rPr>
        <w:t xml:space="preserve"> Les trois impacts principaux sont : valoriser le travail de l’équipe, renforcer la confiance du patient et soutenir la rentabilité globale de l’officine.</w:t>
      </w:r>
      <w:r w:rsidRPr="0001063D">
        <w:rPr>
          <w:rFonts w:ascii="Times New Roman" w:eastAsia="Times New Roman" w:hAnsi="Times New Roman" w:cs="Times New Roman"/>
          <w:sz w:val="24"/>
          <w:szCs w:val="24"/>
          <w:lang w:eastAsia="fr-FR"/>
        </w:rPr>
        <w:br/>
      </w:r>
      <w:r w:rsidRPr="0001063D">
        <w:rPr>
          <w:rFonts w:ascii="Times New Roman" w:eastAsia="Times New Roman" w:hAnsi="Times New Roman" w:cs="Times New Roman"/>
          <w:b/>
          <w:bCs/>
          <w:sz w:val="24"/>
          <w:szCs w:val="24"/>
          <w:lang w:eastAsia="fr-FR"/>
        </w:rPr>
        <w:t>Justification :</w:t>
      </w:r>
      <w:r w:rsidRPr="0001063D">
        <w:rPr>
          <w:rFonts w:ascii="Times New Roman" w:eastAsia="Times New Roman" w:hAnsi="Times New Roman" w:cs="Times New Roman"/>
          <w:sz w:val="24"/>
          <w:szCs w:val="24"/>
          <w:lang w:eastAsia="fr-FR"/>
        </w:rPr>
        <w:t xml:space="preserve"> Une présentation claire et cohérente facilite l’orientation du patient, met en valeur les produits et les conseils, et contribue à l’efficacité commerciale et à l’image de l’officine.</w:t>
      </w:r>
    </w:p>
    <w:p w:rsidR="0001063D" w:rsidRPr="0001063D" w:rsidRDefault="0001063D" w:rsidP="0001063D">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1063D">
        <w:rPr>
          <w:rFonts w:ascii="Times New Roman" w:eastAsia="Times New Roman" w:hAnsi="Times New Roman" w:cs="Times New Roman"/>
          <w:b/>
          <w:bCs/>
          <w:sz w:val="27"/>
          <w:szCs w:val="27"/>
          <w:lang w:eastAsia="fr-FR"/>
        </w:rPr>
        <w:t>QCM</w:t>
      </w:r>
    </w:p>
    <w:p w:rsidR="0001063D" w:rsidRPr="0001063D" w:rsidRDefault="0001063D" w:rsidP="0001063D">
      <w:p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b/>
          <w:bCs/>
          <w:sz w:val="24"/>
          <w:szCs w:val="24"/>
          <w:lang w:eastAsia="fr-FR"/>
        </w:rPr>
        <w:t>QCM 1 :</w:t>
      </w:r>
      <w:r w:rsidRPr="0001063D">
        <w:rPr>
          <w:rFonts w:ascii="Times New Roman" w:eastAsia="Times New Roman" w:hAnsi="Times New Roman" w:cs="Times New Roman"/>
          <w:sz w:val="24"/>
          <w:szCs w:val="24"/>
          <w:lang w:eastAsia="fr-FR"/>
        </w:rPr>
        <w:t xml:space="preserve"> A, B, C ✅</w:t>
      </w:r>
      <w:r w:rsidRPr="0001063D">
        <w:rPr>
          <w:rFonts w:ascii="Times New Roman" w:eastAsia="Times New Roman" w:hAnsi="Times New Roman" w:cs="Times New Roman"/>
          <w:sz w:val="24"/>
          <w:szCs w:val="24"/>
          <w:lang w:eastAsia="fr-FR"/>
        </w:rPr>
        <w:br/>
      </w:r>
      <w:r w:rsidRPr="0001063D">
        <w:rPr>
          <w:rFonts w:ascii="Times New Roman" w:eastAsia="Times New Roman" w:hAnsi="Times New Roman" w:cs="Times New Roman"/>
          <w:b/>
          <w:bCs/>
          <w:sz w:val="24"/>
          <w:szCs w:val="24"/>
          <w:lang w:eastAsia="fr-FR"/>
        </w:rPr>
        <w:t>Justification :</w:t>
      </w:r>
      <w:r w:rsidRPr="0001063D">
        <w:rPr>
          <w:rFonts w:ascii="Times New Roman" w:eastAsia="Times New Roman" w:hAnsi="Times New Roman" w:cs="Times New Roman"/>
          <w:sz w:val="24"/>
          <w:szCs w:val="24"/>
          <w:lang w:eastAsia="fr-FR"/>
        </w:rPr>
        <w:t xml:space="preserve"> Les préparateurs et adjoints observent, signalent et proposent des ajustements tout en maintenant la cohérence visuelle du rayon. Décider seuls de la politique commerciale (D) n’entre pas dans leur rôle.</w:t>
      </w:r>
    </w:p>
    <w:p w:rsidR="0001063D" w:rsidRPr="0001063D" w:rsidRDefault="0001063D" w:rsidP="0001063D">
      <w:p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b/>
          <w:bCs/>
          <w:sz w:val="24"/>
          <w:szCs w:val="24"/>
          <w:lang w:eastAsia="fr-FR"/>
        </w:rPr>
        <w:t>QCM 2 :</w:t>
      </w:r>
      <w:r w:rsidRPr="0001063D">
        <w:rPr>
          <w:rFonts w:ascii="Times New Roman" w:eastAsia="Times New Roman" w:hAnsi="Times New Roman" w:cs="Times New Roman"/>
          <w:sz w:val="24"/>
          <w:szCs w:val="24"/>
          <w:lang w:eastAsia="fr-FR"/>
        </w:rPr>
        <w:t xml:space="preserve"> A, B, C ✅</w:t>
      </w:r>
      <w:r w:rsidRPr="0001063D">
        <w:rPr>
          <w:rFonts w:ascii="Times New Roman" w:eastAsia="Times New Roman" w:hAnsi="Times New Roman" w:cs="Times New Roman"/>
          <w:sz w:val="24"/>
          <w:szCs w:val="24"/>
          <w:lang w:eastAsia="fr-FR"/>
        </w:rPr>
        <w:br/>
      </w:r>
      <w:r w:rsidRPr="0001063D">
        <w:rPr>
          <w:rFonts w:ascii="Times New Roman" w:eastAsia="Times New Roman" w:hAnsi="Times New Roman" w:cs="Times New Roman"/>
          <w:b/>
          <w:bCs/>
          <w:sz w:val="24"/>
          <w:szCs w:val="24"/>
          <w:lang w:eastAsia="fr-FR"/>
        </w:rPr>
        <w:t>Justification :</w:t>
      </w:r>
      <w:r w:rsidRPr="0001063D">
        <w:rPr>
          <w:rFonts w:ascii="Times New Roman" w:eastAsia="Times New Roman" w:hAnsi="Times New Roman" w:cs="Times New Roman"/>
          <w:sz w:val="24"/>
          <w:szCs w:val="24"/>
          <w:lang w:eastAsia="fr-FR"/>
        </w:rPr>
        <w:t xml:space="preserve"> Attribuer un univers, fixer des objectifs et faire un point régulier permettent un suivi efficace et responsabilisent l’équipe. Laisser agir sans coordination (D) risque de créer de la confusion et d’entraver la performance.</w:t>
      </w:r>
    </w:p>
    <w:p w:rsidR="0001063D" w:rsidRPr="0001063D" w:rsidRDefault="0001063D" w:rsidP="0001063D">
      <w:pPr>
        <w:spacing w:before="100" w:beforeAutospacing="1" w:after="100" w:afterAutospacing="1" w:line="240" w:lineRule="auto"/>
        <w:rPr>
          <w:rFonts w:ascii="Times New Roman" w:eastAsia="Times New Roman" w:hAnsi="Times New Roman" w:cs="Times New Roman"/>
          <w:sz w:val="24"/>
          <w:szCs w:val="24"/>
          <w:lang w:eastAsia="fr-FR"/>
        </w:rPr>
      </w:pPr>
      <w:r w:rsidRPr="0001063D">
        <w:rPr>
          <w:rFonts w:ascii="Times New Roman" w:eastAsia="Times New Roman" w:hAnsi="Times New Roman" w:cs="Times New Roman"/>
          <w:b/>
          <w:bCs/>
          <w:sz w:val="24"/>
          <w:szCs w:val="24"/>
          <w:lang w:eastAsia="fr-FR"/>
        </w:rPr>
        <w:t>QCM 3 :</w:t>
      </w:r>
      <w:r w:rsidRPr="0001063D">
        <w:rPr>
          <w:rFonts w:ascii="Times New Roman" w:eastAsia="Times New Roman" w:hAnsi="Times New Roman" w:cs="Times New Roman"/>
          <w:sz w:val="24"/>
          <w:szCs w:val="24"/>
          <w:lang w:eastAsia="fr-FR"/>
        </w:rPr>
        <w:t xml:space="preserve"> A, B, C ✅</w:t>
      </w:r>
      <w:r w:rsidRPr="0001063D">
        <w:rPr>
          <w:rFonts w:ascii="Times New Roman" w:eastAsia="Times New Roman" w:hAnsi="Times New Roman" w:cs="Times New Roman"/>
          <w:sz w:val="24"/>
          <w:szCs w:val="24"/>
          <w:lang w:eastAsia="fr-FR"/>
        </w:rPr>
        <w:br/>
      </w:r>
      <w:r w:rsidRPr="0001063D">
        <w:rPr>
          <w:rFonts w:ascii="Times New Roman" w:eastAsia="Times New Roman" w:hAnsi="Times New Roman" w:cs="Times New Roman"/>
          <w:b/>
          <w:bCs/>
          <w:sz w:val="24"/>
          <w:szCs w:val="24"/>
          <w:lang w:eastAsia="fr-FR"/>
        </w:rPr>
        <w:t>Justification :</w:t>
      </w:r>
      <w:r w:rsidRPr="0001063D">
        <w:rPr>
          <w:rFonts w:ascii="Times New Roman" w:eastAsia="Times New Roman" w:hAnsi="Times New Roman" w:cs="Times New Roman"/>
          <w:sz w:val="24"/>
          <w:szCs w:val="24"/>
          <w:lang w:eastAsia="fr-FR"/>
        </w:rPr>
        <w:t xml:space="preserve"> Une bonne présentation valorise l’équipe, renforce la confiance du patient et soutient la rentabilité. Elle ne remplace pas le conseil pharmaceutique (D), qui reste central dans l’expérience patient.</w:t>
      </w:r>
    </w:p>
    <w:p w:rsidR="00B7091A" w:rsidRDefault="00B7091A"/>
    <w:sectPr w:rsidR="00B709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674"/>
    <w:multiLevelType w:val="multilevel"/>
    <w:tmpl w:val="3F54F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2034D1"/>
    <w:multiLevelType w:val="multilevel"/>
    <w:tmpl w:val="F6D6F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7A4C96"/>
    <w:multiLevelType w:val="multilevel"/>
    <w:tmpl w:val="DA68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7F9"/>
    <w:multiLevelType w:val="multilevel"/>
    <w:tmpl w:val="44A28B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177B70"/>
    <w:multiLevelType w:val="multilevel"/>
    <w:tmpl w:val="7F64A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BE6235"/>
    <w:multiLevelType w:val="multilevel"/>
    <w:tmpl w:val="C89E0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2C0766"/>
    <w:multiLevelType w:val="multilevel"/>
    <w:tmpl w:val="E40A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A4792D"/>
    <w:multiLevelType w:val="multilevel"/>
    <w:tmpl w:val="245EB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C00368D"/>
    <w:multiLevelType w:val="multilevel"/>
    <w:tmpl w:val="EA545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AC5E45"/>
    <w:multiLevelType w:val="multilevel"/>
    <w:tmpl w:val="A970A4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70A2D41"/>
    <w:multiLevelType w:val="multilevel"/>
    <w:tmpl w:val="A4B8A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D72BD9"/>
    <w:multiLevelType w:val="multilevel"/>
    <w:tmpl w:val="B57A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4D7745"/>
    <w:multiLevelType w:val="multilevel"/>
    <w:tmpl w:val="C7CEC8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7603EE"/>
    <w:multiLevelType w:val="multilevel"/>
    <w:tmpl w:val="E6F0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EB3142"/>
    <w:multiLevelType w:val="multilevel"/>
    <w:tmpl w:val="F2322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330E64"/>
    <w:multiLevelType w:val="multilevel"/>
    <w:tmpl w:val="A5AAE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E5E1834"/>
    <w:multiLevelType w:val="multilevel"/>
    <w:tmpl w:val="6500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3809B2"/>
    <w:multiLevelType w:val="multilevel"/>
    <w:tmpl w:val="4E58F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17768A3"/>
    <w:multiLevelType w:val="multilevel"/>
    <w:tmpl w:val="F79E0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97037AD"/>
    <w:multiLevelType w:val="multilevel"/>
    <w:tmpl w:val="653AFA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9B3429F"/>
    <w:multiLevelType w:val="multilevel"/>
    <w:tmpl w:val="15863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30F5EF3"/>
    <w:multiLevelType w:val="multilevel"/>
    <w:tmpl w:val="96BC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8"/>
  </w:num>
  <w:num w:numId="3">
    <w:abstractNumId w:val="16"/>
  </w:num>
  <w:num w:numId="4">
    <w:abstractNumId w:val="4"/>
  </w:num>
  <w:num w:numId="5">
    <w:abstractNumId w:val="11"/>
  </w:num>
  <w:num w:numId="6">
    <w:abstractNumId w:val="12"/>
  </w:num>
  <w:num w:numId="7">
    <w:abstractNumId w:val="13"/>
  </w:num>
  <w:num w:numId="8">
    <w:abstractNumId w:val="7"/>
  </w:num>
  <w:num w:numId="9">
    <w:abstractNumId w:val="20"/>
  </w:num>
  <w:num w:numId="10">
    <w:abstractNumId w:val="2"/>
  </w:num>
  <w:num w:numId="11">
    <w:abstractNumId w:val="19"/>
  </w:num>
  <w:num w:numId="12">
    <w:abstractNumId w:val="6"/>
  </w:num>
  <w:num w:numId="13">
    <w:abstractNumId w:val="9"/>
  </w:num>
  <w:num w:numId="14">
    <w:abstractNumId w:val="21"/>
  </w:num>
  <w:num w:numId="15">
    <w:abstractNumId w:val="14"/>
  </w:num>
  <w:num w:numId="16">
    <w:abstractNumId w:val="0"/>
  </w:num>
  <w:num w:numId="17">
    <w:abstractNumId w:val="5"/>
  </w:num>
  <w:num w:numId="18">
    <w:abstractNumId w:val="3"/>
  </w:num>
  <w:num w:numId="19">
    <w:abstractNumId w:val="10"/>
  </w:num>
  <w:num w:numId="20">
    <w:abstractNumId w:val="1"/>
  </w:num>
  <w:num w:numId="21">
    <w:abstractNumId w:val="1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88C"/>
    <w:rsid w:val="0001063D"/>
    <w:rsid w:val="00255EEA"/>
    <w:rsid w:val="00525F7A"/>
    <w:rsid w:val="005A5116"/>
    <w:rsid w:val="0068324C"/>
    <w:rsid w:val="00B7091A"/>
    <w:rsid w:val="00C43328"/>
    <w:rsid w:val="00E468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03234">
      <w:bodyDiv w:val="1"/>
      <w:marLeft w:val="0"/>
      <w:marRight w:val="0"/>
      <w:marTop w:val="0"/>
      <w:marBottom w:val="0"/>
      <w:divBdr>
        <w:top w:val="none" w:sz="0" w:space="0" w:color="auto"/>
        <w:left w:val="none" w:sz="0" w:space="0" w:color="auto"/>
        <w:bottom w:val="none" w:sz="0" w:space="0" w:color="auto"/>
        <w:right w:val="none" w:sz="0" w:space="0" w:color="auto"/>
      </w:divBdr>
    </w:div>
    <w:div w:id="692418553">
      <w:bodyDiv w:val="1"/>
      <w:marLeft w:val="0"/>
      <w:marRight w:val="0"/>
      <w:marTop w:val="0"/>
      <w:marBottom w:val="0"/>
      <w:divBdr>
        <w:top w:val="none" w:sz="0" w:space="0" w:color="auto"/>
        <w:left w:val="none" w:sz="0" w:space="0" w:color="auto"/>
        <w:bottom w:val="none" w:sz="0" w:space="0" w:color="auto"/>
        <w:right w:val="none" w:sz="0" w:space="0" w:color="auto"/>
      </w:divBdr>
    </w:div>
    <w:div w:id="712927437">
      <w:bodyDiv w:val="1"/>
      <w:marLeft w:val="0"/>
      <w:marRight w:val="0"/>
      <w:marTop w:val="0"/>
      <w:marBottom w:val="0"/>
      <w:divBdr>
        <w:top w:val="none" w:sz="0" w:space="0" w:color="auto"/>
        <w:left w:val="none" w:sz="0" w:space="0" w:color="auto"/>
        <w:bottom w:val="none" w:sz="0" w:space="0" w:color="auto"/>
        <w:right w:val="none" w:sz="0" w:space="0" w:color="auto"/>
      </w:divBdr>
    </w:div>
    <w:div w:id="1310481433">
      <w:bodyDiv w:val="1"/>
      <w:marLeft w:val="0"/>
      <w:marRight w:val="0"/>
      <w:marTop w:val="0"/>
      <w:marBottom w:val="0"/>
      <w:divBdr>
        <w:top w:val="none" w:sz="0" w:space="0" w:color="auto"/>
        <w:left w:val="none" w:sz="0" w:space="0" w:color="auto"/>
        <w:bottom w:val="none" w:sz="0" w:space="0" w:color="auto"/>
        <w:right w:val="none" w:sz="0" w:space="0" w:color="auto"/>
      </w:divBdr>
    </w:div>
    <w:div w:id="135877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524</Words>
  <Characters>2886</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Cinturel</dc:creator>
  <cp:lastModifiedBy>Arnaud Cinturel</cp:lastModifiedBy>
  <cp:revision>4</cp:revision>
  <dcterms:created xsi:type="dcterms:W3CDTF">2025-10-11T06:14:00Z</dcterms:created>
  <dcterms:modified xsi:type="dcterms:W3CDTF">2025-10-26T21:31:00Z</dcterms:modified>
</cp:coreProperties>
</file>